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965"/>
        <w:gridCol w:w="3654"/>
      </w:tblGrid>
      <w:tr w:rsidR="00892347" w:rsidRPr="00892347" w14:paraId="39E33334" w14:textId="77777777" w:rsidTr="00F817B1">
        <w:tc>
          <w:tcPr>
            <w:tcW w:w="1368" w:type="pct"/>
            <w:vMerge w:val="restart"/>
            <w:vAlign w:val="center"/>
          </w:tcPr>
          <w:p w14:paraId="2E71DB58" w14:textId="77777777" w:rsidR="003D5500" w:rsidRPr="00892347" w:rsidRDefault="003D5500" w:rsidP="00884964">
            <w:pPr>
              <w:rPr>
                <w:rFonts w:ascii="Times New Roman" w:hAnsi="Times New Roman" w:cs="Times New Roman"/>
              </w:rPr>
            </w:pPr>
            <w:r w:rsidRPr="0089234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D0357A" wp14:editId="4DA04D81">
                  <wp:extent cx="930275" cy="604520"/>
                  <wp:effectExtent l="0" t="0" r="317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pct"/>
            <w:gridSpan w:val="2"/>
          </w:tcPr>
          <w:p w14:paraId="60F88A6C" w14:textId="77777777" w:rsidR="003D5500" w:rsidRPr="00892347" w:rsidRDefault="003D5500" w:rsidP="008849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2347">
              <w:rPr>
                <w:rFonts w:ascii="Times New Roman" w:hAnsi="Times New Roman" w:cs="Times New Roman"/>
                <w:b/>
                <w:sz w:val="36"/>
                <w:szCs w:val="36"/>
              </w:rPr>
              <w:t>BẢN MÔ TẢ CÔNG VIỆC</w:t>
            </w:r>
          </w:p>
        </w:tc>
      </w:tr>
      <w:tr w:rsidR="00892347" w:rsidRPr="00892347" w14:paraId="1AF7FD0C" w14:textId="77777777" w:rsidTr="00F817B1">
        <w:tc>
          <w:tcPr>
            <w:tcW w:w="1368" w:type="pct"/>
            <w:vMerge/>
          </w:tcPr>
          <w:p w14:paraId="5C302B81" w14:textId="77777777" w:rsidR="003D5500" w:rsidRPr="00892347" w:rsidRDefault="003D5500" w:rsidP="0088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</w:tcPr>
          <w:p w14:paraId="3F01D6FE" w14:textId="77777777" w:rsidR="003D5500" w:rsidRPr="00892347" w:rsidRDefault="003D5500" w:rsidP="003D55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A1B407" w14:textId="77777777" w:rsidR="006F6F44" w:rsidRPr="00892347" w:rsidRDefault="003D5500" w:rsidP="003D550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47">
              <w:rPr>
                <w:rFonts w:ascii="Times New Roman" w:hAnsi="Times New Roman" w:cs="Times New Roman"/>
                <w:b/>
                <w:sz w:val="24"/>
                <w:szCs w:val="24"/>
              </w:rPr>
              <w:t>KỸ</w:t>
            </w:r>
            <w:r w:rsidR="00F90E17" w:rsidRPr="0089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SƯ TƯ VẤN GIẢI PHÁP</w:t>
            </w:r>
            <w:r w:rsidR="006F6F44" w:rsidRPr="0089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843DA6" w14:textId="77777777" w:rsidR="003D5500" w:rsidRPr="00892347" w:rsidRDefault="002D525A" w:rsidP="003D550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MẠNG BẢO MẬT</w:t>
            </w:r>
          </w:p>
        </w:tc>
        <w:tc>
          <w:tcPr>
            <w:tcW w:w="1742" w:type="pct"/>
          </w:tcPr>
          <w:p w14:paraId="0E3DB943" w14:textId="77777777" w:rsidR="003D5500" w:rsidRPr="00892347" w:rsidRDefault="003D5500" w:rsidP="003D55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F8FC67" w14:textId="77777777" w:rsidR="003D5500" w:rsidRPr="00892347" w:rsidRDefault="003D5500" w:rsidP="003D550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47">
              <w:rPr>
                <w:rFonts w:ascii="Times New Roman" w:hAnsi="Times New Roman" w:cs="Times New Roman"/>
                <w:b/>
                <w:sz w:val="24"/>
                <w:szCs w:val="24"/>
              </w:rPr>
              <w:t>KỸ THUẬT</w:t>
            </w:r>
          </w:p>
        </w:tc>
      </w:tr>
      <w:tr w:rsidR="00892347" w:rsidRPr="00892347" w14:paraId="1AEE50ED" w14:textId="77777777" w:rsidTr="00F817B1">
        <w:trPr>
          <w:trHeight w:val="191"/>
        </w:trPr>
        <w:tc>
          <w:tcPr>
            <w:tcW w:w="1368" w:type="pct"/>
            <w:vMerge/>
            <w:tcBorders>
              <w:bottom w:val="single" w:sz="4" w:space="0" w:color="auto"/>
            </w:tcBorders>
          </w:tcPr>
          <w:p w14:paraId="36B37221" w14:textId="77777777" w:rsidR="003D5500" w:rsidRPr="00892347" w:rsidRDefault="003D5500" w:rsidP="0088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  <w:tcBorders>
              <w:bottom w:val="single" w:sz="4" w:space="0" w:color="auto"/>
            </w:tcBorders>
          </w:tcPr>
          <w:p w14:paraId="1D2E1B61" w14:textId="77777777" w:rsidR="003D5500" w:rsidRPr="00892347" w:rsidRDefault="003D5500" w:rsidP="003D55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="00190586" w:rsidRPr="00892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14:paraId="0CDD2558" w14:textId="77777777" w:rsidR="003D5500" w:rsidRPr="00892347" w:rsidRDefault="003D5500" w:rsidP="003D550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</w:p>
        </w:tc>
      </w:tr>
    </w:tbl>
    <w:p w14:paraId="43A3512A" w14:textId="77777777" w:rsidR="00D332BA" w:rsidRPr="00892347" w:rsidRDefault="00D332BA" w:rsidP="00D332BA">
      <w:pPr>
        <w:rPr>
          <w:rFonts w:ascii="Times New Roman" w:hAnsi="Times New Roman" w:cs="Times New Roman"/>
          <w:sz w:val="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513"/>
      </w:tblGrid>
      <w:tr w:rsidR="00892347" w:rsidRPr="00892347" w14:paraId="5EBC71CF" w14:textId="77777777" w:rsidTr="000059EA">
        <w:trPr>
          <w:trHeight w:val="396"/>
        </w:trPr>
        <w:tc>
          <w:tcPr>
            <w:tcW w:w="2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D9385" w14:textId="77777777" w:rsidR="00D332BA" w:rsidRPr="00892347" w:rsidRDefault="00D332BA" w:rsidP="005D5F4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1384B" w14:textId="77777777" w:rsidR="00D332BA" w:rsidRPr="00892347" w:rsidRDefault="00C4133B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CNTT, </w:t>
            </w:r>
            <w:proofErr w:type="spellStart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BB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999380" w14:textId="77777777" w:rsidR="005A287C" w:rsidRPr="00892347" w:rsidRDefault="005A287C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347" w:rsidRPr="00892347" w14:paraId="23CF56DD" w14:textId="77777777" w:rsidTr="000059EA">
        <w:trPr>
          <w:trHeight w:val="588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0A02" w14:textId="77777777" w:rsidR="00D332BA" w:rsidRPr="00892347" w:rsidRDefault="00D332BA" w:rsidP="005D5F4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912D8F"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tả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D993" w14:textId="77777777" w:rsidR="00D332BA" w:rsidRPr="00892347" w:rsidRDefault="005A287C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yếu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62B724" w14:textId="77777777" w:rsidR="005A287C" w:rsidRPr="00892347" w:rsidRDefault="005A287C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18B8A4" w14:textId="77777777" w:rsidR="005A287C" w:rsidRPr="00892347" w:rsidRDefault="005A287C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  <w:p w14:paraId="6970603D" w14:textId="77777777" w:rsidR="005A287C" w:rsidRPr="00892347" w:rsidRDefault="005A287C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28FD3F" w14:textId="77777777" w:rsidR="005A287C" w:rsidRPr="00892347" w:rsidRDefault="005A287C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Tuyên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thầu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8821BF" w14:textId="77777777" w:rsidR="005A287C" w:rsidRPr="00892347" w:rsidRDefault="005A287C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bao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soạn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73835747" w14:textId="77777777" w:rsidR="005A287C" w:rsidRPr="00892347" w:rsidRDefault="005A287C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khảo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B83628" w14:textId="77777777" w:rsidR="005A287C" w:rsidRPr="00892347" w:rsidRDefault="00812F1E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="005A287C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87C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5A287C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87C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="005A287C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025DA6" w14:textId="77777777" w:rsidR="005A287C" w:rsidRPr="00892347" w:rsidRDefault="005A287C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92347" w:rsidRPr="00892347" w14:paraId="09C104C3" w14:textId="77777777" w:rsidTr="000059EA">
        <w:trPr>
          <w:trHeight w:val="950"/>
        </w:trPr>
        <w:tc>
          <w:tcPr>
            <w:tcW w:w="2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208B" w14:textId="77777777" w:rsidR="00D332BA" w:rsidRPr="00892347" w:rsidRDefault="00D332BA" w:rsidP="005D5F4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608B" w14:textId="77777777" w:rsidR="00D332BA" w:rsidRPr="00892347" w:rsidRDefault="00D332BA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4B8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018B7D" w14:textId="77777777" w:rsidR="006B7FBF" w:rsidRPr="00892347" w:rsidRDefault="00581BF2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xu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="006B7FBF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C510FD3" w14:textId="77777777" w:rsidR="00581BF2" w:rsidRPr="00892347" w:rsidRDefault="006B7FBF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huống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D9148D" w14:textId="77777777" w:rsidR="00055193" w:rsidRPr="00892347" w:rsidRDefault="00055193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  <w:p w14:paraId="3EF64BA6" w14:textId="77777777" w:rsidR="00055193" w:rsidRPr="00892347" w:rsidRDefault="006F11F7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hiể</w:t>
            </w:r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Anh </w:t>
            </w:r>
            <w:proofErr w:type="spellStart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193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="00E8190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Giao </w:t>
            </w:r>
            <w:proofErr w:type="spellStart"/>
            <w:r w:rsidR="00E8190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="00E8190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90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="00E8190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6DA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="00DF6DA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Anh </w:t>
            </w:r>
            <w:proofErr w:type="spellStart"/>
            <w:r w:rsidR="00DF6DA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="00E81907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347" w:rsidRPr="00892347" w14:paraId="2A013940" w14:textId="77777777" w:rsidTr="000059EA">
        <w:trPr>
          <w:trHeight w:val="635"/>
        </w:trPr>
        <w:tc>
          <w:tcPr>
            <w:tcW w:w="2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5E11" w14:textId="77777777" w:rsidR="00D332BA" w:rsidRPr="00892347" w:rsidRDefault="00D332BA" w:rsidP="00704BD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98FA" w14:textId="77777777" w:rsidR="00055193" w:rsidRPr="00892347" w:rsidRDefault="00055193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CNTT.</w:t>
            </w:r>
          </w:p>
          <w:p w14:paraId="5E4A90C0" w14:textId="77777777" w:rsidR="00F9034D" w:rsidRPr="00924E4B" w:rsidRDefault="00F9034D" w:rsidP="00F9034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mật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D9FFF19" w14:textId="77777777" w:rsidR="00F9034D" w:rsidRPr="00924E4B" w:rsidRDefault="00F9034D" w:rsidP="00F9034D">
            <w:pPr>
              <w:pStyle w:val="Heading1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before="120" w:beforeAutospacing="0" w:after="0" w:afterAutospacing="0"/>
              <w:ind w:left="602" w:hanging="284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Layer 2/3 Switch, Router cho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mạng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LAN/WAN, Datacenter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của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các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Hãng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phổ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biến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như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Cisco, Juniper, Check Point, Trend Micro …</w:t>
            </w:r>
          </w:p>
          <w:p w14:paraId="2E0A4AC2" w14:textId="77777777" w:rsidR="00F9034D" w:rsidRPr="00924E4B" w:rsidRDefault="00F9034D" w:rsidP="00F9034D">
            <w:pPr>
              <w:pStyle w:val="Heading1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spacing w:before="120" w:beforeAutospacing="0" w:after="0" w:afterAutospacing="0"/>
              <w:ind w:left="602" w:hanging="284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Các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giải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pháp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về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Firewall/Next-gen Firewall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của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 xml:space="preserve"> Cisco, Juniper, Checkpoint, </w:t>
            </w:r>
            <w:proofErr w:type="spellStart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Paloalto</w:t>
            </w:r>
            <w:proofErr w:type="spellEnd"/>
            <w:r w:rsidRPr="00924E4B">
              <w:rPr>
                <w:b w:val="0"/>
                <w:bCs w:val="0"/>
                <w:kern w:val="0"/>
                <w:sz w:val="24"/>
                <w:szCs w:val="24"/>
              </w:rPr>
              <w:t>, Fortinet...</w:t>
            </w:r>
          </w:p>
          <w:p w14:paraId="5BE2C4E0" w14:textId="77777777" w:rsidR="00F9034D" w:rsidRPr="00924E4B" w:rsidRDefault="00F9034D" w:rsidP="00F9034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mật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Web Application Firewall, DB Firewall,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SIEM, SoC, Application &amp; DB Monitoring.</w:t>
            </w:r>
          </w:p>
          <w:p w14:paraId="583BB162" w14:textId="77777777" w:rsidR="00884CFB" w:rsidRPr="008A46A3" w:rsidRDefault="00F9034D" w:rsidP="00F817B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92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VoIP, Video Conference (Cisco, Avaya, Polycom, …)</w:t>
            </w:r>
          </w:p>
          <w:p w14:paraId="25A79B65" w14:textId="7EF61736" w:rsidR="008A46A3" w:rsidRPr="00884CFB" w:rsidRDefault="008A46A3" w:rsidP="008A46A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>Ưu</w:t>
            </w:r>
            <w:proofErr w:type="spellEnd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17F7F">
              <w:rPr>
                <w:rFonts w:ascii="Times New Roman" w:hAnsi="Times New Roman" w:cs="Times New Roman"/>
                <w:sz w:val="24"/>
                <w:szCs w:val="24"/>
              </w:rPr>
              <w:t xml:space="preserve"> CISCO, Juniper, Check Point, Palo Alto, Fortinet...</w:t>
            </w:r>
          </w:p>
        </w:tc>
      </w:tr>
      <w:tr w:rsidR="00892347" w:rsidRPr="00892347" w14:paraId="33698653" w14:textId="77777777" w:rsidTr="000059EA">
        <w:trPr>
          <w:trHeight w:val="635"/>
        </w:trPr>
        <w:tc>
          <w:tcPr>
            <w:tcW w:w="2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11A3" w14:textId="77777777" w:rsidR="00D332BA" w:rsidRPr="00892347" w:rsidRDefault="00D332BA" w:rsidP="005D5F4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5556" w14:textId="77777777" w:rsidR="00D332BA" w:rsidRPr="00892347" w:rsidRDefault="00581BF2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Nhiệt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9183C8" w14:textId="77777777" w:rsidR="00581BF2" w:rsidRPr="00892347" w:rsidRDefault="00581BF2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giác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796AB2" w14:textId="77777777" w:rsidR="00006CFF" w:rsidRPr="00892347" w:rsidRDefault="00DB1E2F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Có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sẵn</w:t>
            </w:r>
            <w:proofErr w:type="spellEnd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sàng</w:t>
            </w:r>
            <w:proofErr w:type="spellEnd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="00581BF2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FEFCBE" w14:textId="77777777" w:rsidR="00A62C43" w:rsidRPr="00892347" w:rsidRDefault="00A62C43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/>
              <w:ind w:left="31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Sẵn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sàng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mảng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  <w:p w14:paraId="2132C2D7" w14:textId="77777777" w:rsidR="00D332BA" w:rsidRPr="00892347" w:rsidRDefault="00D332BA" w:rsidP="008923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="00804521" w:rsidRPr="00892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347" w:rsidRPr="00892347" w14:paraId="71BEABF6" w14:textId="77777777" w:rsidTr="000059EA">
        <w:trPr>
          <w:trHeight w:val="60"/>
        </w:trPr>
        <w:tc>
          <w:tcPr>
            <w:tcW w:w="297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FE48" w14:textId="77777777" w:rsidR="00D332BA" w:rsidRPr="00892347" w:rsidRDefault="005D5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hưởng</w:t>
            </w:r>
            <w:proofErr w:type="spellEnd"/>
          </w:p>
        </w:tc>
        <w:tc>
          <w:tcPr>
            <w:tcW w:w="75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6705" w14:textId="77777777" w:rsidR="00782D47" w:rsidRPr="00E846CF" w:rsidRDefault="00782D47" w:rsidP="00782D4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after="120"/>
              <w:ind w:left="5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Thu </w:t>
            </w:r>
            <w:proofErr w:type="spellStart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3F9D2207" w14:textId="77777777" w:rsidR="00782D47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triệu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0A2F4003" w14:textId="77777777" w:rsidR="00782D47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Gói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thưởng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KPI)</w:t>
            </w:r>
          </w:p>
          <w:p w14:paraId="51B761EB" w14:textId="77777777" w:rsidR="00782D47" w:rsidRPr="0089785C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334625F" w14:textId="77777777" w:rsidR="00782D47" w:rsidRPr="009C658F" w:rsidRDefault="00782D47" w:rsidP="00782D47">
            <w:pPr>
              <w:pStyle w:val="ListParagraph"/>
              <w:shd w:val="clear" w:color="auto" w:fill="FFFFFF"/>
              <w:spacing w:before="120" w:after="120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E7C81" w14:textId="77777777" w:rsidR="00782D47" w:rsidRPr="00E846CF" w:rsidRDefault="00782D47" w:rsidP="00782D4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after="120"/>
              <w:ind w:left="5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Chê</w:t>
            </w:r>
            <w:proofErr w:type="spellEnd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triển</w:t>
            </w:r>
            <w:proofErr w:type="spellEnd"/>
          </w:p>
          <w:p w14:paraId="3FEB17DD" w14:textId="77777777" w:rsidR="00782D47" w:rsidRPr="00E846CF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>Lộ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>thăng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735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8FF5032" w14:textId="77777777" w:rsidR="00782D47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khóa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Hãng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chi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5B44D54" w14:textId="77777777" w:rsidR="00782D47" w:rsidRPr="0046308F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sư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hãng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(Cisco, Juniper, IBM, Check Point, Palo Alto, Fortinet...),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cận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4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076E13" w14:textId="77777777" w:rsidR="00782D47" w:rsidRDefault="00782D47" w:rsidP="00782D47">
            <w:pPr>
              <w:pStyle w:val="ListParagraph"/>
              <w:shd w:val="clear" w:color="auto" w:fill="FFFFFF"/>
              <w:spacing w:before="120" w:after="120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6B194" w14:textId="77777777" w:rsidR="00782D47" w:rsidRPr="00E46623" w:rsidRDefault="00782D47" w:rsidP="00782D4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after="120"/>
              <w:ind w:left="5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Bảo</w:t>
            </w:r>
            <w:proofErr w:type="spellEnd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hiểm</w:t>
            </w:r>
            <w:proofErr w:type="spellEnd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sách</w:t>
            </w:r>
            <w:proofErr w:type="spellEnd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đãi</w:t>
            </w:r>
            <w:proofErr w:type="spellEnd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6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ngộ</w:t>
            </w:r>
            <w:proofErr w:type="spellEnd"/>
          </w:p>
          <w:p w14:paraId="02A78370" w14:textId="77777777" w:rsidR="00782D47" w:rsidRPr="000C20CB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hủ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6A1F26" w14:textId="77777777" w:rsidR="00782D47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39EF3D" w14:textId="521372A5" w:rsidR="00782D47" w:rsidRPr="003802FE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gần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A9BE070" w14:textId="77777777" w:rsidR="00782D47" w:rsidRPr="001D3A90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Được</w:t>
            </w:r>
            <w:proofErr w:type="spellEnd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hưởng</w:t>
            </w:r>
            <w:proofErr w:type="spellEnd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ảo</w:t>
            </w:r>
            <w:proofErr w:type="spellEnd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hiểm</w:t>
            </w:r>
            <w:proofErr w:type="spellEnd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xã</w:t>
            </w:r>
            <w:proofErr w:type="spellEnd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hội</w:t>
            </w:r>
            <w:proofErr w:type="spellEnd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bảo</w:t>
            </w:r>
            <w:proofErr w:type="spellEnd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hiểm</w:t>
            </w:r>
            <w:proofErr w:type="spellEnd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tế</w:t>
            </w:r>
            <w:proofErr w:type="spellEnd"/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8FDE408" w14:textId="77777777" w:rsidR="00782D47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ác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ty, du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mát</w:t>
            </w:r>
            <w:proofErr w:type="spellEnd"/>
            <w:r w:rsidRPr="00006CFF">
              <w:rPr>
                <w:rFonts w:ascii="Times New Roman" w:eastAsia="Times New Roman" w:hAnsi="Times New Roman" w:cs="Times New Roman"/>
                <w:sz w:val="24"/>
                <w:szCs w:val="24"/>
              </w:rPr>
              <w:t>,…</w:t>
            </w:r>
            <w:proofErr w:type="gramEnd"/>
          </w:p>
          <w:p w14:paraId="655B1197" w14:textId="7F21DB59" w:rsidR="00D332BA" w:rsidRPr="00892347" w:rsidRDefault="00782D47" w:rsidP="00782D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31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0C20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D801F7" w14:textId="77777777" w:rsidR="005C1FEB" w:rsidRPr="00892347" w:rsidRDefault="005C1FEB" w:rsidP="005C1FEB">
      <w:pPr>
        <w:shd w:val="clear" w:color="auto" w:fill="FFFFFF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5C1FEB" w:rsidRPr="00892347" w:rsidSect="00F817B1">
      <w:pgSz w:w="11906" w:h="16838" w:code="9"/>
      <w:pgMar w:top="851" w:right="1440" w:bottom="709" w:left="1440" w:header="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DB8E" w14:textId="77777777" w:rsidR="00413FFD" w:rsidRDefault="00413FFD" w:rsidP="003D5500">
      <w:r>
        <w:separator/>
      </w:r>
    </w:p>
  </w:endnote>
  <w:endnote w:type="continuationSeparator" w:id="0">
    <w:p w14:paraId="0BE37AC4" w14:textId="77777777" w:rsidR="00413FFD" w:rsidRDefault="00413FFD" w:rsidP="003D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46FA" w14:textId="77777777" w:rsidR="00413FFD" w:rsidRDefault="00413FFD" w:rsidP="003D5500">
      <w:r>
        <w:separator/>
      </w:r>
    </w:p>
  </w:footnote>
  <w:footnote w:type="continuationSeparator" w:id="0">
    <w:p w14:paraId="37C9535C" w14:textId="77777777" w:rsidR="00413FFD" w:rsidRDefault="00413FFD" w:rsidP="003D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A98"/>
    <w:multiLevelType w:val="hybridMultilevel"/>
    <w:tmpl w:val="B9126A60"/>
    <w:lvl w:ilvl="0" w:tplc="040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49EF0C72"/>
    <w:multiLevelType w:val="hybridMultilevel"/>
    <w:tmpl w:val="2F9E1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B3FBC"/>
    <w:multiLevelType w:val="hybridMultilevel"/>
    <w:tmpl w:val="4878A8B0"/>
    <w:lvl w:ilvl="0" w:tplc="7B667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F18F2"/>
    <w:multiLevelType w:val="hybridMultilevel"/>
    <w:tmpl w:val="74209454"/>
    <w:lvl w:ilvl="0" w:tplc="04090009">
      <w:start w:val="1"/>
      <w:numFmt w:val="bullet"/>
      <w:lvlText w:val="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77E72FB9"/>
    <w:multiLevelType w:val="hybridMultilevel"/>
    <w:tmpl w:val="F22AFCA4"/>
    <w:lvl w:ilvl="0" w:tplc="F5E86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05523"/>
    <w:multiLevelType w:val="hybridMultilevel"/>
    <w:tmpl w:val="DC7E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003BE"/>
    <w:multiLevelType w:val="hybridMultilevel"/>
    <w:tmpl w:val="D088AC02"/>
    <w:lvl w:ilvl="0" w:tplc="21A65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17922">
    <w:abstractNumId w:val="1"/>
  </w:num>
  <w:num w:numId="2" w16cid:durableId="1396124375">
    <w:abstractNumId w:val="6"/>
  </w:num>
  <w:num w:numId="3" w16cid:durableId="825586745">
    <w:abstractNumId w:val="0"/>
  </w:num>
  <w:num w:numId="4" w16cid:durableId="1902590530">
    <w:abstractNumId w:val="5"/>
  </w:num>
  <w:num w:numId="5" w16cid:durableId="1474516216">
    <w:abstractNumId w:val="4"/>
  </w:num>
  <w:num w:numId="6" w16cid:durableId="581374661">
    <w:abstractNumId w:val="2"/>
  </w:num>
  <w:num w:numId="7" w16cid:durableId="497774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BA"/>
    <w:rsid w:val="000059EA"/>
    <w:rsid w:val="00006CFF"/>
    <w:rsid w:val="00055193"/>
    <w:rsid w:val="000C6494"/>
    <w:rsid w:val="000F290B"/>
    <w:rsid w:val="000F402E"/>
    <w:rsid w:val="00103048"/>
    <w:rsid w:val="001175BB"/>
    <w:rsid w:val="0017179C"/>
    <w:rsid w:val="00190586"/>
    <w:rsid w:val="001B0694"/>
    <w:rsid w:val="001D115C"/>
    <w:rsid w:val="001D1E0B"/>
    <w:rsid w:val="002128A5"/>
    <w:rsid w:val="00265556"/>
    <w:rsid w:val="002722E1"/>
    <w:rsid w:val="002D525A"/>
    <w:rsid w:val="002E4BB7"/>
    <w:rsid w:val="002F20C1"/>
    <w:rsid w:val="00330F5A"/>
    <w:rsid w:val="003A1007"/>
    <w:rsid w:val="003A3C67"/>
    <w:rsid w:val="003D5500"/>
    <w:rsid w:val="003F0117"/>
    <w:rsid w:val="00413FFD"/>
    <w:rsid w:val="004509DF"/>
    <w:rsid w:val="00453A50"/>
    <w:rsid w:val="0048060C"/>
    <w:rsid w:val="004F012A"/>
    <w:rsid w:val="00505B87"/>
    <w:rsid w:val="00526CD0"/>
    <w:rsid w:val="00581BF2"/>
    <w:rsid w:val="0058653E"/>
    <w:rsid w:val="005A287C"/>
    <w:rsid w:val="005C1FEB"/>
    <w:rsid w:val="005C4DA8"/>
    <w:rsid w:val="005D2E99"/>
    <w:rsid w:val="005D4E4D"/>
    <w:rsid w:val="005D5F4E"/>
    <w:rsid w:val="005F0FB9"/>
    <w:rsid w:val="00631C66"/>
    <w:rsid w:val="006A73C4"/>
    <w:rsid w:val="006B7FBF"/>
    <w:rsid w:val="006D1BA9"/>
    <w:rsid w:val="006E1ACE"/>
    <w:rsid w:val="006F11F7"/>
    <w:rsid w:val="006F6F44"/>
    <w:rsid w:val="00704BD0"/>
    <w:rsid w:val="00756611"/>
    <w:rsid w:val="00782D47"/>
    <w:rsid w:val="007C04B8"/>
    <w:rsid w:val="007D00BE"/>
    <w:rsid w:val="007D580B"/>
    <w:rsid w:val="00800C79"/>
    <w:rsid w:val="00804521"/>
    <w:rsid w:val="00812F1E"/>
    <w:rsid w:val="00884CFB"/>
    <w:rsid w:val="00892347"/>
    <w:rsid w:val="008A46A3"/>
    <w:rsid w:val="008D09CB"/>
    <w:rsid w:val="008E559E"/>
    <w:rsid w:val="00912D8F"/>
    <w:rsid w:val="00953877"/>
    <w:rsid w:val="0096445D"/>
    <w:rsid w:val="009F674F"/>
    <w:rsid w:val="00A02E94"/>
    <w:rsid w:val="00A2694C"/>
    <w:rsid w:val="00A476AF"/>
    <w:rsid w:val="00A62C43"/>
    <w:rsid w:val="00AA77A1"/>
    <w:rsid w:val="00AF128D"/>
    <w:rsid w:val="00C17F7F"/>
    <w:rsid w:val="00C20DFA"/>
    <w:rsid w:val="00C4133B"/>
    <w:rsid w:val="00D332BA"/>
    <w:rsid w:val="00DB1E2F"/>
    <w:rsid w:val="00DB373B"/>
    <w:rsid w:val="00DD3C18"/>
    <w:rsid w:val="00DE0D61"/>
    <w:rsid w:val="00DF6DA7"/>
    <w:rsid w:val="00E06BCC"/>
    <w:rsid w:val="00E21D78"/>
    <w:rsid w:val="00E50543"/>
    <w:rsid w:val="00E632D3"/>
    <w:rsid w:val="00E638E6"/>
    <w:rsid w:val="00E81907"/>
    <w:rsid w:val="00E82653"/>
    <w:rsid w:val="00EE0862"/>
    <w:rsid w:val="00F80C2A"/>
    <w:rsid w:val="00F817B1"/>
    <w:rsid w:val="00F9034D"/>
    <w:rsid w:val="00F90E17"/>
    <w:rsid w:val="00FA5CC1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34382"/>
  <w15:chartTrackingRefBased/>
  <w15:docId w15:val="{79AFB43E-7FC8-4C0E-A7F1-E1CE15A6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B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551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D5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5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0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2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E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E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29AA-BA59-4DF2-9B7E-BE4B1FD3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nguyetnta</dc:creator>
  <cp:keywords/>
  <dc:description/>
  <cp:lastModifiedBy>Admin</cp:lastModifiedBy>
  <cp:revision>9</cp:revision>
  <cp:lastPrinted>2022-04-18T05:56:00Z</cp:lastPrinted>
  <dcterms:created xsi:type="dcterms:W3CDTF">2022-03-24T10:36:00Z</dcterms:created>
  <dcterms:modified xsi:type="dcterms:W3CDTF">2022-04-26T08:37:00Z</dcterms:modified>
</cp:coreProperties>
</file>